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40"/>
          <w:szCs w:val="40"/>
          <w:shd w:val="clear" w:fill="FFFFFF"/>
          <w:lang w:val="en-US" w:eastAsia="zh-CN" w:bidi="ar"/>
        </w:rPr>
      </w:pPr>
      <w:r>
        <w:rPr>
          <w:rFonts w:hint="eastAsia" w:ascii="仿宋_GB2312" w:hAnsi="仿宋_GB2312" w:eastAsia="仿宋_GB2312" w:cs="仿宋_GB2312"/>
          <w:i w:val="0"/>
          <w:iCs w:val="0"/>
          <w:caps w:val="0"/>
          <w:color w:val="auto"/>
          <w:spacing w:val="0"/>
          <w:kern w:val="0"/>
          <w:sz w:val="40"/>
          <w:szCs w:val="40"/>
          <w:shd w:val="clear" w:fill="FFFFFF"/>
          <w:lang w:val="en-US" w:eastAsia="zh-CN" w:bidi="ar"/>
        </w:rPr>
        <w:t>乡宁县医疗集团PCR方舱实验室建设采购项目</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方正小标宋简体" w:hAnsi="方正小标宋简体" w:eastAsia="方正小标宋简体" w:cs="方正小标宋简体"/>
          <w:i w:val="0"/>
          <w:iCs w:val="0"/>
          <w:caps w:val="0"/>
          <w:color w:val="auto"/>
          <w:spacing w:val="0"/>
          <w:kern w:val="0"/>
          <w:sz w:val="72"/>
          <w:szCs w:val="72"/>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72"/>
          <w:szCs w:val="72"/>
          <w:shd w:val="clear" w:fill="FFFFFF"/>
          <w:lang w:val="en-US" w:eastAsia="zh-CN" w:bidi="ar"/>
        </w:rPr>
        <w:t>谈判文件</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1" w:name="_GoBack"/>
      <w:bookmarkEnd w:id="1"/>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乡宁县医疗集团</w:t>
      </w:r>
    </w:p>
    <w:p>
      <w:pP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br w:type="page"/>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center"/>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第一部分 谈判公告</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rightChars="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一、采购人：乡宁县医疗集团</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二、采购项目名称：乡宁县医疗集团PCR方舱实验室建设采购项目</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三、采购方式：竞争性谈判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四、预算采购金额：9709400元（人民币）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五、采购需求：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本次谈判采购共分为2个包，具体采购内容如下：</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66"/>
        <w:gridCol w:w="838"/>
        <w:gridCol w:w="3663"/>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20" w:lineRule="exact"/>
              <w:ind w:right="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分包情况</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20" w:lineRule="exact"/>
              <w:ind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20" w:lineRule="exact"/>
              <w:ind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货物</w:t>
            </w:r>
          </w:p>
          <w:p>
            <w:pPr>
              <w:keepNext w:val="0"/>
              <w:keepLines w:val="0"/>
              <w:pageBreakBefore w:val="0"/>
              <w:kinsoku/>
              <w:wordWrap/>
              <w:overflowPunct/>
              <w:topLinePunct w:val="0"/>
              <w:autoSpaceDE/>
              <w:autoSpaceDN/>
              <w:bidi w:val="0"/>
              <w:adjustRightInd/>
              <w:snapToGrid/>
              <w:spacing w:line="620" w:lineRule="exact"/>
              <w:ind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名称</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20" w:lineRule="exact"/>
              <w:ind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20" w:lineRule="exact"/>
              <w:ind w:right="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包1</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20" w:lineRule="exact"/>
              <w:ind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20" w:lineRule="exact"/>
              <w:ind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舱体</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20" w:lineRule="exact"/>
              <w:ind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0" w:type="auto"/>
            <w:vMerge w:val="restart"/>
            <w:tcBorders>
              <w:top w:val="single" w:color="auto" w:sz="6" w:space="0"/>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leftChars="0" w:right="0" w:firstLine="42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包2</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双人超净工作台</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生物安全柜</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医用冷藏冷冻箱</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医用低温冰箱</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医用冷藏箱</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全自动核酸提取仪</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全自动医用PCR分析系统</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笔记本电脑</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UPS</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11</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打印机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12</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单道移液器</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13</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八道排枪</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14</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电动八道排枪</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15</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手掌式瞬时离心机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16</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混匀器（震荡仪）</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17</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紫外线消毒车</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18</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旋涡混合器</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19</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微孔板离心机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PCR板压板机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21</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试管架</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22</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空气消毒机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23</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多管漩涡混匀仪</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24</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立式灭菌器</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center"/>
              <w:textAlignment w:val="center"/>
              <w:rPr>
                <w:rFonts w:hint="eastAsia" w:ascii="仿宋_GB2312" w:hAnsi="仿宋_GB2312" w:eastAsia="仿宋_GB2312" w:cs="仿宋_GB2312"/>
                <w:color w:val="auto"/>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25</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全自动样本处理系统</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六、供应商资格要求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1、具有独立承担民事责任的能力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3、具有履行合同所必须的设备和专业技术能力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4、本次采购活动前三年内，在经营活动中没有重大违法记录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5、本项目特定资质：营业执照、医疗器械备案凭证、开户许可证等相关证件。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6、本项目不接受联合体报价。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七、获取采购文件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1、时间：2022年12月12日至2022年12月16日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2、获取方式：医院门户网站（https://www.xnxrmyy.cn/）</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八、递交响应文件时间及地点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1、截至时间：12月23日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2、地点：乡宁县人民医院设备科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九、开启</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1、时间：12月23日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2、地点：乡宁县人民医院十楼会议室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十、公告期限：自本公告发布之日起3个工作日。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十一、采购项目联系方式：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联系人：马先生，联系方式：13467109127</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附件：采购文件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righ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乡宁县医疗集团</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righ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2022年12月12日</w:t>
      </w:r>
    </w:p>
    <w:p>
      <w:pPr>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br w:type="page"/>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第二部分 报价人须知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center"/>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一、报价人应具备的资格要求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1、具有独立承担民事责任的能力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2、具有良好的商业信誉和健全的财务会计制度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3、具有履行合同所必须的设备和专业技术能力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4、本次采购活动前三年内，在经营活动中没有重大违法记录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5、本项目特定资质：营业执照、医疗器械备案凭证、开户许可证等相关证件。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6、本项目不接受联合体报价。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二、响应文件（纸质）份数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三、响应文件内容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（一）具有独立承担民事责任的能力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（二）具有良好的商业信誉和健全的财务会计制度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（三）具有履行合同所必须的设备和专业技术能力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（四）本次采购活动前三年内，在经营活动中没有重大违法记录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（五）本项目特定资质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（六）产品具体内容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（七）报价表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第三部分 商务、服务、技术要求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一、商务要求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1、合同履行期限：15日历天；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2、质保期：1年；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3、合同履行地点：乡宁县人民医院；</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4、付款方式：在合同中约定。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二、服务要求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1、在质量保证期内，凡因正常使用出现的质量问题，提供免费维修或更换。</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2、所有货物实行我国关于三包的最新规定。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3、报价人提供的产品有售后电话，质保期为项目验收合格后一年；质保期内免费提供备品、备件，质保期满后，仍能提供终身优质维修服务。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售后服务：报价人提供的产品在安装调试过程中，应无偿协助解决安装、调试和试运行中出现的问题；24小时内响应，半小时内提供解决方案，若遇疑难问题，无偿提供上门服务，2小时内到达现场；6小时内排除，12个小时内完成售后服务，确保设备正常运作。</w:t>
      </w:r>
    </w:p>
    <w:p>
      <w:pPr>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三、技术需求</w:t>
      </w:r>
    </w:p>
    <w:tbl>
      <w:tblPr>
        <w:tblStyle w:val="3"/>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5"/>
        <w:gridCol w:w="528"/>
        <w:gridCol w:w="873"/>
        <w:gridCol w:w="838"/>
        <w:gridCol w:w="6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分包情况</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序号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货物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名称</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数量</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包1</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舱体</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1方舱舱体</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1.1双箱体结构，工厂模块化一体成型配套</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1.2.外形尺寸：≥17500*2980*2980mm（L*W*H）*2，运输方便。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★1.3.整体采用钢制结构折弯焊接而成，内部地面采用28mm复合地板，四角为ISO标箱集装箱角件吊装结构；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1.4.采用4mm厚优质钢材支撑架，稳固耐用；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1.5.不锈钢外门，双门设计，带门禁系统；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1.6.表面经除锈、涂防锈漆、喷涂三次集装箱专用漆处理，全天候耐用。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 舱内配置</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2.1.吊顶和内部隔墙采用50mm厚实验室专用抗菌净化板，板材厚度达0.426mm，抗菌效果好，防火、防潮、防脱胶、高强度、隔热、吸音；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2.2.箱体内阴阳角配洁净室专用圆弧形铝型材，保证箱体内部光滑无卫生死角，不积灰，不易产生霉菌；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2.3.专用钢制洁净密封门，带玻璃观察窗，缓冲间两道门有互锁装置，并配有紧急开启装置，在断电等紧急状态下可手动开启；</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2.4.地面采用2mm PVC卷材地面，防火抗菌，耐磨防滑。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 区域布置</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★3.1.严格按照PCR实验室分区进行设计，三个功能分区：试剂准备区、标本制备区和产物扩增分析区，配置独立缓冲间。除此之外，配置洗消间和设备间。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★3.2.压力梯度按照试剂准备区-标本制备区-产物扩增分析区方向逐级递减，气流走向为单向流；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★3.3.各区域间配有传递窗用于物品传递，传递窗门具有互锁功能，并配有紫外灯消毒；所有传递窗尺寸≥500*500*500mm，其中标本接收传递窗尺寸≥600*600*600mm，并具备呼叫系统。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3.4.各区域配有LED洁净灯，省电节能易维修，可有效防止细菌滋生，房间照度符合标准要求；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3.5.配备实验室专用紫外灯，并配有延时功能，保护实验人员安全。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3.6.缓冲间门口安装有压差表，可实时显示房间内的动态压力。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3.7.各实验室配置外窗，可用常规情况采光使用。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★3.8、配置5G无线网络设备，实现舱内网络全覆盖；</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3.9、各实验区域设置互通呼叫设备，便于舱内外信息同步化；</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3.10、各区域配置独立式烟雾报警探测器，实现区域火灾自动报警全覆盖</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3.11、缓冲间门口安装有压差表，可实时显示房间内的动态压力。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★3.12、每个缓冲间设置一体式不锈钢柜式水盆、双开门吊柜，配置单独穿衣镜。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3.13、实验室配置双目洗眼器。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3.14、方舱内配置监控系统，储存时间1个月，各实验室均设置摄像头，监控屏设置于PCR走廊。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 空调通风系统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4.1.严格按照PCR实验室送排风设计，保证实验区的风量和换气次数；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4.2. 采用全新风变频组合式空调净化机组，采用初效、中效二级过滤送风，末端送风口采用高效过滤器，进行三级过滤送风，气流组织为上送下排，同时设计独立排风，满足室内温湿度同时确保室内洁净度。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4.3. 组合式空调机组，对新风进行初效、中效，表冷，再热系统，过滤及调温，满足-20度至40度全气候使用条件，保证室内温度恒定；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4.4. 实验室内部温度为18℃～26℃，相对湿度不超过70%；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★4.5. 独立排风系统，三个实验室配置独立的排风机，实验室负压式高效排风机配备高效排风过滤器， 可有效过滤室内生物气溶胶，避免污染环境。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4.6.实验室试剂准备区（正压）、标本制备区（负压）、扩增区分析区（负压），各实验区与缓冲间、缓冲间与缓冲走廊均安装有±60Pa压差表，房间压力设置为试剂准备区+10~+15Pa、缓冲+5Pa；标本制备区压力为-10~-20Pa，缓冲区为-5~-8Pa；扩增分析区压力为-15~-25Pa，缓冲区-5~-10Pa；所述气压均为相对外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4.7.换气次数：≥15次。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4.8.高效过滤器，主体为铝合金材质，环保、医用，高效过滤器采用无隔板形式，优质玻璃纤维滤纸，性能稳定。环保、医用，过滤效率≥99.99%，并提供国家级实验室检测报告。要求每个过滤器出厂前均应经过效率及检漏测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 给排水系统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5.1.设备间设置有小型污水处理设备，污水处理能力200L/D；处理工艺：“pH调节→多介质过滤→复合消毒→达标排放”</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★5.2.设备间设置有自动加压储水设备，储水能力为100L；</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5.3.PCR方舱污水通过小型污水处理设备自吸进水，灭活处理后排放至医院排污管网；6 实验台柜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6.1. 台面使用12.7mm厚优质实芯理化板台面边缘加厚至25.4mm，具有抗腐蚀超耐磨，耐强 酸强碱等；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6.2. 框架采用1.0mm厚的优质冷轧钢板，表面经环氧树脂静电喷涂，表面平整光滑，无脱落、 鼓泡、凹陷，无压痕划伤、麻点，无裂痕、崩角和刃口等缺陷；底部由可调地脚支撑，用于 台面水平微调节；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6.3. 采用1.0mm厚优质钢板制作柜体，表面经脱脂，水洗，酸洗，中和，磷化，水洗高压冲 洗烘干等程序后使用环氧树脂喷粉进行高温固化，涂层厚度大于50μm，耐腐蚀，耐天候；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6.4. 配件采用优质实验室专有品牌，配备实验室专用水龙头，PP水槽，洗眼器等。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 控制系统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7.1.可视化智能控制系统，具有房间温湿度、压差梯度、照明灯、紫外灯控制等；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7.2. 具有动态压力控制能力，自动平衡空调滤网及高效过滤堵塞引起的压差变化，显示送排风机组运行状态；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7.3、具有预约杀菌及智能化杀菌功能， 异常情总自动报警提醒用户。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 污水处理设备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执行标准;国家医疗机构污染物排放标注（GB18466-2005）预处理消毒标准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8.1、小型污水处理设备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8.1.处理量（25℃）：200L/天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8.2.处理系统：中和沉淀+UV紫外灭菌+复合式消毒（臭氧+氧化剂氧化）+多级过滤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8.3.PH在线检测，根据检测数值自动进行PH调节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8.4.PH测量范围：0～14，调节PH值：6～9</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8.5.分辨率：0.01pH，准确率：±0.02pH</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8.6、精准投加，利用进口计量泵准确控制投药量，并设有液位控制缺药自动报警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8.7、高效灭菌，与传统系统相比较操作便捷、杀菌能力强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★8.8、采用智能控制系统实时检测、控制污水的水质变化和处理流程，实现全天候自动运行，无需专人值守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★8.9、执行标准：《医疗机构水污染物排放标准》GB18466-2005；《污水排入城市下水道水质标准》GB/T31962-2015</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8.10.具备冲洗功能，可定期进行正洗和反洗</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★8.11.多路液位检测，具备药品缺液报警功能，废水自动处理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8.12.具有防冻加热装置，温度低于5℃时防冻功能自动启动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8.13.具有耗材报警功能：内部耗材到期自动提醒更换</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★8.14.产品具有第三方检测报告、环保产品证书、消毒产品生产企业卫生许可证。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0" w:type="auto"/>
            <w:vMerge w:val="restart"/>
            <w:tcBorders>
              <w:top w:val="single" w:color="auto" w:sz="6" w:space="0"/>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包2</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双人超净工作台</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1.外部尺寸≥1460mm×620mm×1850mm；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2.气流流速：0.30～0.45m/s；</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3.紫外灯功率≥40W；</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4.LED日光灯功率≥16W；</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5.前窗玻璃最大开口高度≥400mm；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6.前窗玻璃开口安全操作高度：200-350mm；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7.噪音≤65dB(A)；</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8.产品安全性：菌落数≤0.5CFU/30min；</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9.照明：≥300lx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生物安全柜</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（1）分类：A2型，30%外排，70%循环</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（2）外部尺寸≥（L×D×H）1500mm×750mm×2250mm；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（3）内部尺寸≥（L×D×H）1350mm ×600mm×660mm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（4）台面距离地面高度：750mm（尺寸可根据要求订制修改）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（5）风速： 平均下降风速：0.33±0.025m/s； 平均吸入口风速0.53±0.025m/s</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（6）系统排风总量：500 m³/h</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（7）额定功率：≥1850W（包含操作区插座负载500W）</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（8）噪音等级：≤67dB（A）</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（9）照明：≥1000lx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医用冷藏冷冻箱</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1、立式上下门设计，箱内有效容积≥300L</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2、采用喷涂钢板外壳和热锌板喷粉内胆，有效防菌防腐蚀；冷藏室容积≥205L，冷冻室容积≥95L</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3、温度控制:微电脑控制,触摸按键，大屏幕LED显示，可同时显示冷藏、冷冻室温度，冷藏显示精度0.1℃，冷冻显示精度1℃，冷藏温度范围2～8℃，冷冻温度-10~-30 ℃ 温度可自行调节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4、核心组件：采用国际知名品牌压缩机和风机，采用环保制冷剂，制冷效果佳，质量可靠、性能稳定、使用寿命长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6、门体结构：发泡门设计，满足避光保存要求，保温性能优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7、制冷系统：冷藏、冷冻独立制冷系统，可单独停用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8、温度均匀性：采用高性能保温材料，保温效果好，风冷系统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9、安全系统：多重故障报警，具有蜂鸣报警和灯光闪烁两种报警方式，可实现超温报警、传感故障报警、断电报警、开门报警、环温高报警、电池电量低报警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10、温度监控：产品配有两个测试孔，方便客户接入温度监控设备，对箱内温度进行监测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11、箱内配置：冷藏室冷冻室内搁架间距可调节，满足不同物品放置易清擦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12、柜内照明：内设LED照明灯，高亮节能，柜内试剂一目了然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13、固定移动：产品配有4个脚轮和2个平衡底脚，移动方便，固定可靠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14、安全保障：双门双锁扣设计，每个锁扣均可外挂锁，满足安全要求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15、冷凝蒸发：冷冻室为隐藏蒸发器设计，箱内空间利用率高，冷冻室双重密封，结霜少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医用低温冰箱</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1、温度范围-10°C～-25°C可调节，控温精度1℃</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2、微电脑控制，LED大数码管显示箱内温度，显示精度1℃</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w:t>
            </w:r>
            <w:bookmarkStart w:id="0" w:name="OLE_LINK45"/>
            <w:bookmarkEnd w:id="0"/>
            <w:r>
              <w:rPr>
                <w:rFonts w:hint="default" w:ascii="仿宋_GB2312" w:hAnsi="仿宋_GB2312" w:eastAsia="仿宋_GB2312" w:cs="仿宋_GB2312"/>
                <w:i w:val="0"/>
                <w:iCs w:val="0"/>
                <w:caps w:val="0"/>
                <w:color w:val="auto"/>
                <w:spacing w:val="0"/>
                <w:kern w:val="0"/>
                <w:sz w:val="32"/>
                <w:szCs w:val="32"/>
                <w:lang w:val="en-US" w:eastAsia="zh-CN" w:bidi="ar"/>
              </w:rPr>
              <w:t>具有多种故障报警：高温报警、低温报警、传感器故障报警、超温限报警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4、具有两种报警方式：声音蜂鸣报警、灯光闪烁报警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5、多重保护功能：开机延时保护、停机间隔保护、显示面板保护、断电记忆数据保护、传感器故障保护运行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6、采用HC环保制冷剂和制冷系统，环异戊烷发泡，真正完全绿色环保</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7、箱壳采用冷轧钢板喷粉；内胆采用PS板吸附材质永不生锈，防腐可靠，易于清洁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8、门体带锁扣设计，既可外挂锁，保证存储物品安全，又有效锁紧门体，密封更好更节能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9、85mm以上厚度的超厚保温层，门体可拆卸式密封条设计，顶部双密封设计，更好的保证保温节能效果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10、7个独立塑料抽屉设计，每个抽屉都可以单独拿出来存放物品再放回去，既方便用户存放物品使用，又能分开存储不同类型的物品，防止保存物品交叉影响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11、测试孔设计，方便用户测试使用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12、平衡阀设计，轻松开门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13、脚轮+底脚设计，便于移动和锁定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14、搁架式蒸发器设计，保证箱内温度在最短的时间内降到用户需要温度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15、具有医疗器械注册证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16、样式：立式，有效容积≥220L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医用冷藏箱</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1、立式对开门设计，箱内有效容积≥600L</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2、箱内温度控制范围：2℃～8℃</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3、数字显示箱内温度，微电脑控制,显示精度0.1，带电源指示灯，可显示箱内上部、下部温度以及平均温度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4、可实现超温报警、断电报警、开门报警、传感器故障报警、电池电量低报警，带远程报警接口</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5、双感温包设计，模拟存储物品的表面温度，而非感温探头处空气温度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6、高精度5路传感器设计，可分别显示箱内上部温度、下部温度以及平均值；主传感器故障后副传感器替代主传感器控制制冷系统运行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7、国际知名品牌压缩机，品质保障，性能卓越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8、蒸发风机采用2个国际知名品牌轴流风机、冷凝风机采用1个EBM罩极风机，保证部件质量和整机性能可靠性</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9、双层玻璃门体，采用电极式电加热设计无凝露</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10、门体可实现90°自动关门，防止用户忘记关门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11、带有4个可移动脚轮和2个可锁定的平衡底脚，方便产品移动和固定使用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12、冷凝水自动蒸发功能，无需人工倒水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13、门体带锁设计，且是一把钥匙一把锁结构，保证存储物品的安全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14、产品配有测试孔，方便用户对箱内温度进行监测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15、配置12个带价目条的搁架，可以根据实际使用情况调整搁架间距，保证箱内空间利用率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全自动核酸提取仪</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1.方法学：磁珠法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2.最高通量：96个/次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3.处理时间：≤12min/次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4.样本类型：全血、血清、血浆、鼻/咽拭子、分泌物、脱落细胞、尿液、痰液、粪便、FFPE组织、动植物组织、干血斑、唾液，肺灌洗液等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5.程序储存：内建5组模式程序，可存储 ≧50000组程序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6.吸磁能力：磁棒磁通量≥5500高斯，最大程度降低磁珠掉磁风险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7.磁棒套取放模式：自动取放磁棒套，无需人员操作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8.磁珠回收率：≧98%</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9.防交叉污染：同时具有紫外消毒模块、通风设施、气溶胶高效过滤器、负压排气功能，保证结果准确性，实验室安全和人员安全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10.智能程序：智能紫外灯消毒与自动关机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11.断电保护：意外断电且恢复供电后，可选择继续运行实验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12.故障处理：智能多维度故障提醒，实现一键故障自动清除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13.开机自检：开机自动初始化并温控自检</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14.舱门保护：舱门误开，程序暂停，关闭舱门后继续运行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15.照明系统：具有照明系统，在仪器运行过程中能够全程监控运行状态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全自动医用PCR分析系统</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17</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1.标配4通道</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2.样本容量：96孔</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3.光 源：超高亮度LED</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4.检测器：高灵敏度光电传感器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5.检测动力学范围：100-1010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6.最小检测模板：单个拷贝</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7.反应容积：15ul-100ul</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8.荧光激发波长：通道1：470nm       通道2：530 nm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通道3：585 nm      通道4：630 nm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通道5：预留         通道6：预留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9.荧光检测波长： 通道1：510 nm     通道2：565 nm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通道3：620 nm    通道4：665 nm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通道5：预留        通道6：预留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10.检测的荧光素及染料：通道1：FAM、SYBR</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通道2：VIC、HEX、JOE、TET、TAMRA、CY3</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通道3：ROX、TEXRAD</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通道4： CY5</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11.控温模式：半导体热电模块</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12.温度准确性：±0.1℃</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13.温度均匀性：±0.1℃</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14.控温范围：4℃-99℃</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15.升降温速率：≥4℃</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16.热盖：电子自动热盖</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17.操作系统：WindowsXP/VISTA/Windows7等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18.耗能：≤850VA</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19.尺寸(W*D*H)：≥386mm*534mm*258mm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20.重量：≥18kg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笔记本电脑</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1.CPU:第四代AMD锐龙六核十二线程处理器R5 5500U，基本频率：2.1GHz加速频率：4.0GHz</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2.屏幕：14.0三边窄 FHD 防眩光雾面屏（1920X1080）宽屏16:9  刷新率：60Hz</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3.内存：8G DDR4 3200MHz（支持内存槽升级）</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4.硬盘：512G NVMe SSD</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5.无线网卡：2X2 AC无线局域网卡 10/100/1000Mbps wifi5</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6.蓝牙：蓝牙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7.系统：Windows11操作系统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8.电池：3芯锂离子电池  42Wh</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9.重量：≥1.4kg</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10.端口：USB3.2*1  USB2.0*1  HDMI*1  耳机、麦克风二   合一接口*1 Type-c非雷电接口*1 读卡器*1 摄像头*1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UPS</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1、容量（VA/W）：≥3000VA/2700W</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2、输入电压范围：115-300VAC</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3、频率范围：40HZ-70HZ</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4、输入连接：国标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5、输入谐波失真：&lt;10%非线性满载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6、输入功率因数：≥0.98</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7、输出电压：220VAC</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8、输出精度：±2%</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9、输出连接：GB10A*3+输出端子台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10、琐相范围：46HZ-54HZ/54HZ-66HZ</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11、输出频率（电池模式）：50/60HZ±0.05HZ</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12、电流峰值比：3:1</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13、输出谐波失真：&lt;4%(线性负载)  &lt;7%(非线性负载)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14、输出波型：纯净正弦输出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15、过载能力：105%-150%：47s-25s（市电模式） 150%-200%：25s-300ms   &gt;200%：200ms（电池模式）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16、市电模式效率：&gt;90%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17、电池电压：96VDC</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18、充电电流：1.0A/</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19、转换时间：电池模式&lt;--&gt;市电模式 0ms</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20、显示：LED 负载/电量/输入输出/运行模式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21、运行环境温度：0-40℃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22、运行环境湿度：20-90%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23、噪声：&lt;50dB@距离1米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24、通讯和监控：RS232（标配） 扩展插槽（选配可选择NMC卡、CMC卡、AS400卡或USB卡） EPO（选配紧急关断）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打印机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1.打印类别：激光黑白打印模式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2.黑白打印分辨率：600*600dpi</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3.打印速度：20页/分钟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4.打印幅面：A4幅面</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5.首页输出时间：&lt;10秒</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6.双面打印：手动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7.重量：≥4.7KG</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8.连接方式：USB连接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单道移液器</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1.连续可调1-10ul,2-20ul, 10-100ul,20-200ul,100-1000ul,1-10ml；</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2.可快速容量设置；</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3.双控按钮设计，顶部旋转式按钮帽确保流畅稳定的移液，底部液量调节按钮用于精细的移液操作，手感好。有效预防移液中间的误操作；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4.符合人体工程学设计，轻触推杆设计，宽大放松指靠设计，使移液更轻松；</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5.色彩靓丽，不同色彩标记不同的量程，易于辨识；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6.低于50ul量程的移液器双活塞设计确保移液器具有强吹出能力；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7.白色背景，黑色超大数字显示，带微量刻度尺；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8.可以方便取下管嘴连件进行高温高压灭菌，并可整支紫外灭菌；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9.配ID标签，包括3枚预置标签和空白标签，方便区分；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10.标配校准保养工具，易于维修保养。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13</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八道排枪</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1.产品特点：轻便且设计符合人机工效学；数字视窗，令所设定量程一目了然；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2.量程范围广（0.1μl-5000μl）；使用附件工具，能方便快捷地进行校准和维修。</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3.创新特点：管嘴推出器可同时推出8/12道吸嘴，高效省力；各种量程的8/12道移液器适用于标准96孔板；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4.液头可360度旋转，以方便移液；每道管嘴连件都有独立的活塞装置，使维修保养十分容易；特别的管嘴连件设计，易于观察吸嘴的密封状况。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14</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电动八道排枪</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1．可充电锂电池。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 超轻设计，流线造型，符合人体工程力学。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3．大液晶屏位于枪身部分，完全还原手动移液器的操作和显示方式。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4．组合旋钮设计，所有操作均可通过组合旋钮来完成，操作简便。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5．吸液和排液速度可调。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6．精密度和准确度高，保证移液的准确性和平行性。</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7．功能：吸排液，连续混匀，连续分配，稀释功能。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8．高精度步进电机。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9．支持座充和线充两种充电方式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10．活塞部分零件支持高温高压消毒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15</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手掌式瞬时离心机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1.转速：7000r/min -10000r/min</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2.转速精度：±10r/min</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3.电    源：AC220V 50/60HZ 1A</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4.整机功率：≦40W</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5.重    量：≦1.2kg</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6.外形尺寸：≦180×140×130mm(L×W×H)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16</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混匀器（震荡仪）</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 固定速度≦2800RPM。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 偏心球轴设计，震动头安装方便。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 柔软硅胶脚垫，防止仪器在高速震动时移动，外形小巧，防震，适合高速工作。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 体积小，耗电省，噪音低。</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 机体均采用增强型工程塑料成型技术，机体无油漆喷涂，耐酸碱，耐碰撞。</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 工作台面全部为耐腐、耐磨、安全的TPU材料。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 仪器集成连续，点震，连续，调速等功能。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17</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紫外线消毒车</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1、灯管功率：≥30W×2</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2、灯管数量：2 支</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3、静态适用面积：≥30m2</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4、电源电压：220V±10%，频率：50Hz±10%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5、输人功率：≥180VA</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6、紫外线波长：≥240nm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7、辐照强度：≥214uw/cm2</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8、移动可折叠，灯管可内藏，可多角度调节：30°，60°，90°，135°，180°。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9、带定时装置：0-120 分钟。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10、灯管寿命：大于2000 小时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11、带脚轮可移动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12、采用碳钢制作，为双灯管结构，可单独使用.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18</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旋涡混合器</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1.运行方式：圆周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2.周转直径：4.5mm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3.最大载重量：0.5kg（带托架）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4.电机类型：直流无刷电机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5.电机输入功率：18W</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6.电机输出功率：10W</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7.转速范围:单孔板: 0~1500rpm双孔板: 0~1000rpm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8.转速显示:刻度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9.电压:100~240V,50/60Hz</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10.功率:20W</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11.尺寸:≥260×150×80mm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12.重量:≥3kg</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13.允许环境温度湿度:5~40oC,80%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14.外壳防护等级:IP21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19</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微孔板离心机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1.最高转速：3000rpm(500~3000rpm)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2.最大相对离心力：小于等于600xg</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3.样品处理量：2×96孔PCR板/酶标板、24×0.2ml PCR排管、192×0.2ml PCR管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4.定时范围：点动/1~99秒/1~99分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5.输入电压：DC 24V 电源适配器（AC 100~230V  50/60Hz）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PCR板压板机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1.用于实验室 PCR 体系配置完成后，PCR 板、8 连管、PCR 单管盖子(封板膜)自动压紧的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功能。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2.能够一次性压96个PCR管或12条8联管或96孔板。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3.同时具有压盖和压膜功能，可一键切换。</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4.按压均匀有力。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21</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试管架</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2000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1.采用优质塑料制造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2.可放置96个试管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3.孔径≥18mm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4.颜色为红色或蓝色。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22</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空气消毒机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1.适用体积≥100m³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2.循环风量≥1000m³/h</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3.细菌总量≤200cfu/m³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4.额定频率50Hz±1Hz</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5.额定电压AC 220V±22V</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6.臭氧浓度≤0.02mg/m³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7.等离子体发生器和等离子体机芯使用寿命≥10000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23</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多管漩涡混匀仪</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1.转速范围:0-3000RPM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2.调速精度:±10rpm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3.振幅:4mm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4.定时范围: 0s-99Min</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5.最大载重: 5kg</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6.顶部盖板尺寸（W×D）：≤300×236mm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7.输入电源: AC 100-230V, 50/60H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24</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立式灭菌器</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1.容积≥80L</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2.功率：5200W</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3.净重约等于：100kg</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4.内腔尺寸≥Φ386x875mm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5.外形尺寸≥640x550x1280mm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6.提篮数：≥1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25</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全自动样本处理系统</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1.移液精度：200ul分液 5μl CV&lt; 3% ；20ul分液 1μl CV&lt; 3%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2.移液准确度：200ul 分液 5μl +/- 2% ；20ul分液 1μl+/- 2%</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3.微孔板规格：兼容96和384孔板：客户自定义或者标准的SBS规格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4.分液增量（分辨率）：≤0.1ul</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5.分液原理：空气置换式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6.机器使用安全低压直流电源，内部无交流强电，确保设备使用安全。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7.移液模块：高精度96道移液模块，采用柔性无损取放、密封技术，避免冲撞式取放对加样通道的磨损，以延长加样通道的使用寿命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8.适配耗材：支持多品牌通用耗材，通过公开市场购买推荐品牌、型号的枪头和板类适配耗材。</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9.设备使用触摸操作，可选全中文操作界面。可自由设置工作站板位信息，设计所需实验流程，支持拖拽式编程方式，软件可在线更新，软件基于Android操作系统。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10. 系统软件可自动计算移液的数据，自动计算移液完成前后来源板和目的板的体积，实现一吸多喷等功能，加快实验速度。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11.相对湿度：10～80%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12.工作电压：24VDC</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四、验收标准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根据相关法律法规等规定编制项目履约验收标准。</w:t>
      </w:r>
    </w:p>
    <w:p>
      <w:pPr>
        <w:spacing w:line="620" w:lineRule="exact"/>
      </w:pPr>
    </w:p>
    <w:p>
      <w:r>
        <w:br w:type="page"/>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第</w:t>
      </w:r>
      <w:r>
        <w:rPr>
          <w:rFonts w:hint="eastAsia" w:ascii="仿宋_GB2312" w:hAnsi="仿宋_GB2312" w:eastAsia="仿宋_GB2312" w:cs="仿宋_GB2312"/>
          <w:i w:val="0"/>
          <w:iCs w:val="0"/>
          <w:caps w:val="0"/>
          <w:color w:val="auto"/>
          <w:spacing w:val="0"/>
          <w:kern w:val="0"/>
          <w:sz w:val="32"/>
          <w:szCs w:val="32"/>
          <w:lang w:val="en-US" w:eastAsia="zh-CN" w:bidi="ar"/>
        </w:rPr>
        <w:t>四</w:t>
      </w:r>
      <w:r>
        <w:rPr>
          <w:rFonts w:hint="eastAsia" w:ascii="仿宋_GB2312" w:hAnsi="仿宋_GB2312" w:eastAsia="仿宋_GB2312" w:cs="仿宋_GB2312"/>
          <w:i w:val="0"/>
          <w:iCs w:val="0"/>
          <w:caps w:val="0"/>
          <w:color w:val="auto"/>
          <w:spacing w:val="0"/>
          <w:kern w:val="0"/>
          <w:sz w:val="32"/>
          <w:szCs w:val="32"/>
          <w:lang w:bidi="ar"/>
        </w:rPr>
        <w:t>部分 合同草案 (可修改)</w:t>
      </w:r>
    </w:p>
    <w:p>
      <w:pPr>
        <w:wordWrap w:val="0"/>
        <w:spacing w:before="0" w:after="0" w:line="400" w:lineRule="exact"/>
        <w:ind w:left="0" w:right="0"/>
        <w:jc w:val="center"/>
        <w:textAlignment w:val="baseline"/>
        <w:rPr>
          <w:rFonts w:ascii="等线" w:hAnsi="等线" w:eastAsia="宋体" w:cs="Times New Roman"/>
          <w:kern w:val="0"/>
          <w:sz w:val="28"/>
          <w:szCs w:val="28"/>
          <w:lang/>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需方：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供方：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供方在***组织的****项目竞争性谈判采购中成交，经双方协商一致，签订本合同。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一、货物条款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供方向需方提供以下货物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(具体品牌、数量、技术参数及质保期等清单后附)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二、合同总金额：</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人民币 (大写):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(小写) : Y</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合同总金额包含包装、仓储、运输、装卸、安装调试、税费、保险费、供方应当提供的伴随服务/售后服务费用以及验收合格之前与质保期内备品备件发生的所有费用。此价格为合同执行不变价，不因国家政策变化而变化。</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三、合同资金支付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资金支付方式：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资金支付条件及时间：验收合格后由需方负责办理货款支付手续。需方自收到发票后30日内，按合同规定将款项支付到约定的报价人账户。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四、履约保证金缴纳方式及退还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履约保证金缴纳方式：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签订合同后5个工作日内 (或收到成交通知书后5个工作日内)，以支票、汇票、本票或者金融机构、担保机构出具的保函等非现金形式向采购人提交合同额     %的履行保证金。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履约保证金退还的方式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履约保证金退还的条件及时间：供方按合同规定履行完毕供方责任，供方缴纳的履约保证金     月后      个工作日内需方无息退还。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五、售后服务及承诺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供方向需方承诺：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六、交货</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1、交货期限：</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2、交货地点：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七、交验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1、验收由需方组织进行，必要时可邀请国家认可的质量检测机构参加验收工作，需方验收供方所交的货物后要制作填写“合同履约情况验收报告”。验收结果须供需双方共同确认。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2、交货时供方就所投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3、供方交付产品中的软件应无知识产权纠纷，若出现知识产权纠纷等法律问题，由供方自行承担。</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4、需方要按照谈判文件中的验收标准来进行验收，按照与履约验收挂钩的资金支付条件及时间执行。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八、需方责任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1、及时办理付款手续。不得以机构变动、人员更替、政策调整等为由延迟付款，不得将谈判文件和合同中未规定的义务作为向报价人付款的条件。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2、负责提供工作场地，协助供方办理有关事宜。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3、对合同条款及价格负有保密义务。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九、供方责任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1、保证所供货物均为谈判文件承诺的，符合相关质量检测标准，具有该产品的出厂标准或国家鉴定证书。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2、保证售后服务，严格依据谈判文件及相关承诺，进行保修、维护等服务。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十、违约责任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1、需方无正当理由逾期支付货款的，每逾期一日向供方偿付合同款总额   %的违约金，逾期付款超过     日，供方有权解除合同，届时需方向供方退还已收到的货物及履约保证金，并赔偿由此给供方造成的全部经济损失。</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2、供方所交的货物品种、型号、规格、质量不符合合同规定标准，需方有权拒收。同时，供方向需方支付合同款总额       的违约金。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3、供方不能交付货物时，供方向需方偿付合同款总额        的违约金。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4、供方逾期交付货物时，每逾1日供方向需方偿付合同款总额       的滞纳金。逾期交货超过 30天后，需方有权决定是否继续履行合同。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5、供方在履约中，未履行供方责任的，履约保证金不予退还。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6、供方在履约中，未完全履行供方责任的，需方可按        扣除履约保证金。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7、因需方错告或变更到货地点而给供方造成的损失，由需方负担。</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8、因需方原因导致合同变更、中止或者终止政府采购合同的，需方应当对供方受到的损失予以赔偿或者补供，贴偿或者补偿金额：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9、符合履约保证金退还的条件及时间，需方逾期退还履约保证金的，每逾1日需方向供方偿付履约保证金总额       的滞纳金。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十一、不可抗力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十二、争议解决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供需双方在执行合同中发生争议，应通过协商解决。如协商不成，双方均可向需方住所地有管辖权的人民法院提起诉讼。</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十三、合同生效及其他</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1、合同由供、需双方法定代表人或授权代表签字并加盖公章或合同专用章之日起生效。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2、本合同一式     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3、合同执行过程中出现的未尽事宜，双方在不违背合同和谈判文件的前提下协商解决。协商结果以“纪要”形式供需双方签字盖章确认，作为合同附件，与合同具有同等效力。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十四、下列文件为本合同不可分割部分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1、谈判文件 (含澄清或修改文件)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2、谈判文件 (含澄清或说明文件)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3、报价人所做的其他承诺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4、项目验收标准、程序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 xml:space="preserve">    需方 (章):                            供方 (章):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 xml:space="preserve">    法定代表人：                           法定代表人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 xml:space="preserve">    委托代理人：                           委托代理人：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 xml:space="preserve">   地 址:                                   地 址:</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 xml:space="preserve">   电 话:                                   电 话:</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 xml:space="preserve">    开户银行：                              开户银行：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 xml:space="preserve">   账 号:                                    账 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本合同的签署地：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28" w:firstLineChars="200"/>
        <w:jc w:val="left"/>
        <w:rPr>
          <w:rFonts w:hint="eastAsia" w:ascii="仿宋_GB2312" w:hAnsi="仿宋_GB2312" w:eastAsia="仿宋_GB2312" w:cs="仿宋_GB2312"/>
          <w:i w:val="0"/>
          <w:iCs w:val="0"/>
          <w:caps w:val="0"/>
          <w:color w:val="auto"/>
          <w:spacing w:val="0"/>
          <w:kern w:val="0"/>
          <w:sz w:val="32"/>
          <w:szCs w:val="32"/>
          <w:lang w:bidi="ar"/>
        </w:rPr>
      </w:pPr>
      <w:r>
        <w:rPr>
          <w:rFonts w:hint="eastAsia" w:ascii="仿宋_GB2312" w:hAnsi="仿宋_GB2312" w:eastAsia="仿宋_GB2312" w:cs="仿宋_GB2312"/>
          <w:i w:val="0"/>
          <w:iCs w:val="0"/>
          <w:caps w:val="0"/>
          <w:color w:val="auto"/>
          <w:spacing w:val="0"/>
          <w:kern w:val="0"/>
          <w:sz w:val="32"/>
          <w:szCs w:val="32"/>
          <w:lang w:bidi="ar"/>
        </w:rPr>
        <w:t>日 期：     年   月   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jc w:val="left"/>
        <w:rPr>
          <w:rFonts w:hint="eastAsia" w:ascii="仿宋_GB2312" w:hAnsi="仿宋_GB2312" w:eastAsia="仿宋_GB2312" w:cs="仿宋_GB2312"/>
          <w:i w:val="0"/>
          <w:iCs w:val="0"/>
          <w:caps w:val="0"/>
          <w:color w:val="auto"/>
          <w:spacing w:val="0"/>
          <w:kern w:val="0"/>
          <w:sz w:val="32"/>
          <w:szCs w:val="32"/>
          <w:lang w:val="en-US" w:eastAsia="zh-CN" w:bidi="ar"/>
        </w:rPr>
      </w:pPr>
    </w:p>
    <w:p>
      <w:pPr>
        <w:rPr>
          <w:rFonts w:hint="eastAsia"/>
          <w:lang w:val="en-US" w:eastAsia="zh-CN"/>
        </w:rPr>
      </w:pPr>
      <w:r>
        <w:rPr>
          <w:rFonts w:hint="eastAsia"/>
          <w:lang w:val="en-US" w:eastAsia="zh-CN"/>
        </w:rPr>
        <w:br w:type="page"/>
      </w:r>
    </w:p>
    <w:p>
      <w:pPr>
        <w:spacing w:line="620" w:lineRule="exact"/>
        <w:jc w:val="center"/>
        <w:rPr>
          <w:rFonts w:hint="default"/>
          <w:lang w:val="en-US" w:eastAsia="zh-CN"/>
        </w:rPr>
      </w:pPr>
      <w:r>
        <w:rPr>
          <w:rFonts w:hint="eastAsia"/>
          <w:lang w:val="en-US" w:eastAsia="zh-CN"/>
        </w:rPr>
        <w:t>第五部分 响应文件资料</w:t>
      </w:r>
    </w:p>
    <w:p>
      <w:pPr>
        <w:spacing w:line="620" w:lineRule="exact"/>
        <w:rPr>
          <w:rFonts w:hint="eastAsia"/>
          <w:lang w:val="en-US" w:eastAsia="zh-CN"/>
        </w:rPr>
      </w:pPr>
    </w:p>
    <w:p>
      <w:pPr>
        <w:spacing w:line="620" w:lineRule="exact"/>
        <w:rPr>
          <w:rFonts w:hint="default"/>
          <w:lang w:val="en-US" w:eastAsia="zh-CN"/>
        </w:rPr>
      </w:pPr>
      <w:r>
        <w:rPr>
          <w:rFonts w:hint="eastAsia"/>
          <w:lang w:val="en-US" w:eastAsia="zh-CN"/>
        </w:rPr>
        <w:t>一、具有独立承担民事责任的能力</w:t>
      </w:r>
    </w:p>
    <w:p>
      <w:pPr>
        <w:spacing w:line="620" w:lineRule="exact"/>
        <w:rPr>
          <w:rFonts w:hint="default"/>
          <w:lang w:val="en-US" w:eastAsia="zh-CN"/>
        </w:rPr>
      </w:pPr>
      <w:r>
        <w:rPr>
          <w:rFonts w:hint="eastAsia"/>
          <w:lang w:val="en-US" w:eastAsia="zh-CN"/>
        </w:rPr>
        <w:t>二、具有良好的商业信誉和健全的财务会计制度</w:t>
      </w:r>
    </w:p>
    <w:p>
      <w:pPr>
        <w:spacing w:line="620" w:lineRule="exact"/>
        <w:rPr>
          <w:rFonts w:hint="default"/>
          <w:lang w:val="en-US" w:eastAsia="zh-CN"/>
        </w:rPr>
      </w:pPr>
      <w:r>
        <w:rPr>
          <w:rFonts w:hint="eastAsia"/>
          <w:lang w:val="en-US" w:eastAsia="zh-CN"/>
        </w:rPr>
        <w:t>三、具有履行合同所必须的设备和专业技术能力</w:t>
      </w:r>
    </w:p>
    <w:p>
      <w:pPr>
        <w:spacing w:line="620" w:lineRule="exact"/>
        <w:rPr>
          <w:rFonts w:hint="default"/>
          <w:lang w:val="en-US" w:eastAsia="zh-CN"/>
        </w:rPr>
      </w:pPr>
      <w:r>
        <w:rPr>
          <w:rFonts w:hint="eastAsia"/>
          <w:lang w:val="en-US" w:eastAsia="zh-CN"/>
        </w:rPr>
        <w:t>四、本次采购活动前三年内，在经营活动中没有重大违法记录</w:t>
      </w:r>
    </w:p>
    <w:p>
      <w:pPr>
        <w:spacing w:line="620" w:lineRule="exact"/>
        <w:rPr>
          <w:rFonts w:hint="default"/>
          <w:lang w:val="en-US" w:eastAsia="zh-CN"/>
        </w:rPr>
      </w:pPr>
      <w:r>
        <w:rPr>
          <w:rFonts w:hint="eastAsia"/>
          <w:lang w:val="en-US" w:eastAsia="zh-CN"/>
        </w:rPr>
        <w:t>五、本项目特定资质</w:t>
      </w:r>
    </w:p>
    <w:p>
      <w:pPr>
        <w:spacing w:line="620" w:lineRule="exact"/>
        <w:rPr>
          <w:rFonts w:hint="eastAsia"/>
          <w:lang w:val="en-US" w:eastAsia="zh-CN"/>
        </w:rPr>
      </w:pPr>
      <w:r>
        <w:rPr>
          <w:rFonts w:hint="eastAsia"/>
          <w:lang w:val="en-US" w:eastAsia="zh-CN"/>
        </w:rPr>
        <w:t>六、产品具体内容</w:t>
      </w:r>
    </w:p>
    <w:p>
      <w:pPr>
        <w:spacing w:line="620" w:lineRule="exact"/>
        <w:rPr>
          <w:rFonts w:hint="default"/>
          <w:lang w:val="en-US" w:eastAsia="zh-CN"/>
        </w:rPr>
      </w:pPr>
      <w:r>
        <w:rPr>
          <w:rFonts w:hint="eastAsia"/>
          <w:lang w:val="en-US" w:eastAsia="zh-CN"/>
        </w:rPr>
        <w:t>七、报价表</w:t>
      </w:r>
    </w:p>
    <w:p>
      <w:pPr>
        <w:spacing w:line="620" w:lineRule="exact"/>
        <w:rPr>
          <w:rFonts w:hint="default"/>
          <w:lang w:val="en-US" w:eastAsia="zh-CN"/>
        </w:rPr>
      </w:pPr>
    </w:p>
    <w:sectPr>
      <w:pgSz w:w="11906" w:h="16838"/>
      <w:pgMar w:top="1701" w:right="1588" w:bottom="1418" w:left="1531" w:header="851" w:footer="1400" w:gutter="0"/>
      <w:cols w:space="425" w:num="1"/>
      <w:docGrid w:type="linesAndChars" w:linePitch="623"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7"/>
  <w:drawingGridVerticalSpacing w:val="3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2395A"/>
    <w:rsid w:val="0D0439C8"/>
    <w:rsid w:val="1DDD65D5"/>
    <w:rsid w:val="2214458F"/>
    <w:rsid w:val="28F334A0"/>
    <w:rsid w:val="4CB52347"/>
    <w:rsid w:val="7B41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2024-07-14T04:25:43Z</dcterms:created>
  <dc:creator>lenovo</dc:creator>
  <cp:lastModifiedBy>lenovo</cp:lastModifiedBy>
  <dcterms:modified xsi:type="dcterms:W3CDTF">2024-07-14T06:18:45Z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